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widowControl w:val="0"/>
        <w:spacing w:after="51" w:line="240" w:lineRule="auto"/>
        <w:ind w:left="0" w:right="-20" w:firstLine="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heading=h.w310z9jbds1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ТЛУМАЧЭННЕ ДА КОНКУРСА ПРАПАНОВАЎ </w:t>
      </w:r>
    </w:p>
    <w:p w:rsidR="00000000" w:rsidDel="00000000" w:rsidP="00000000" w:rsidRDefault="00000000" w:rsidRPr="00000000" w14:paraId="00000002">
      <w:pPr>
        <w:widowControl w:val="0"/>
        <w:spacing w:after="51" w:line="240" w:lineRule="auto"/>
        <w:ind w:left="0" w:right="-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ARTPOWER BELARUS: МІНІ-ПРАЕКТЫ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51" w:line="240" w:lineRule="auto"/>
        <w:ind w:left="2280" w:right="-20" w:firstLine="0"/>
        <w:jc w:val="both"/>
        <w:rPr>
          <w:rFonts w:ascii="Times New Roman" w:cs="Times New Roman" w:eastAsia="Times New Roman" w:hAnsi="Times New Roman"/>
          <w:smallCaps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0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0"/>
        <w:gridCol w:w="3990"/>
        <w:tblGridChange w:id="0">
          <w:tblGrid>
            <w:gridCol w:w="4110"/>
            <w:gridCol w:w="39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ind w:right="-2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РАСКЛАД МІНІ-ГРАНТАЎ 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ind w:right="-2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(1000–5000 EUR) 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right="-20"/>
              <w:jc w:val="both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right="-2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СТАРТ ПАДАЧЫ ЗАЯВАК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right="-2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31.01.2023 (на сталай аснове)</w:t>
            </w:r>
          </w:p>
        </w:tc>
      </w:tr>
      <w:tr>
        <w:trPr>
          <w:cantSplit w:val="0"/>
          <w:trHeight w:val="272.46093749999994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0" w:right="858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ДЭДЛАЙН ПАДАЧЫ ЗАЯВАК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13.11.2023 23:59 паводле менскага часу (трэці кол)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right="-60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АБ'ЯЎЛЕННЕ ВЫНІКАЎ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 25.01.2024 (трэці кол)</w:t>
            </w:r>
          </w:p>
        </w:tc>
      </w:tr>
      <w:tr>
        <w:trPr>
          <w:cantSplit w:val="0"/>
          <w:trHeight w:val="262.9687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right="-2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ДАТЫ СТАРТУ ПРАЕКТУ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01.02.2024 – 01.10.2024 (трэці кол)</w:t>
            </w:r>
          </w:p>
        </w:tc>
      </w:tr>
      <w:tr>
        <w:trPr>
          <w:cantSplit w:val="0"/>
          <w:trHeight w:val="322.9687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right="-2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ПРАЦЯГЛАСЦЬ ПРАЕКТУ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1–9 месяцаў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right="-2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ДАТА ЗАКАНЧЭННЯ ПРАЕКТУ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пазней за 01.11.2024</w:t>
            </w:r>
          </w:p>
        </w:tc>
      </w:tr>
    </w:tbl>
    <w:p w:rsidR="00000000" w:rsidDel="00000000" w:rsidP="00000000" w:rsidRDefault="00000000" w:rsidRPr="00000000" w14:paraId="00000015">
      <w:pPr>
        <w:spacing w:after="16" w:line="24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" w:line="24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"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Сродкі для грантаў ArtPower Belarus вылучаныя Еўрапейскім Звязам. Гэтыя рэкамендацыі былі складзеныя згодна з Практычным кіраўніцтвам у кантрактавых працэдурах для вонкавых дзеянняў Еўрапейскага Звязу (PRAG), раздзел 6.8.2. Заяўкі, пададзеныя згодна з гэтымі прынцыпамі, павінны адпавядаць умовам PRAG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версія 2021.1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Title"/>
        <w:widowControl w:val="0"/>
        <w:spacing w:before="89" w:line="240" w:lineRule="auto"/>
        <w:ind w:right="-20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14izfghvlkm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Title"/>
        <w:widowControl w:val="0"/>
        <w:spacing w:before="89" w:line="240" w:lineRule="auto"/>
        <w:ind w:right="-20"/>
        <w:rPr>
          <w:rFonts w:ascii="Times New Roman" w:cs="Times New Roman" w:eastAsia="Times New Roman" w:hAnsi="Times New Roman"/>
          <w:b w:val="0"/>
          <w:sz w:val="26"/>
          <w:szCs w:val="26"/>
        </w:rPr>
      </w:pPr>
      <w:bookmarkStart w:colFirst="0" w:colLast="0" w:name="_heading=h.coh81er80q0e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 Мэты конкурсу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Title"/>
        <w:widowControl w:val="0"/>
        <w:spacing w:before="89" w:line="240" w:lineRule="auto"/>
        <w:ind w:right="-20"/>
        <w:jc w:val="both"/>
        <w:rPr>
          <w:rFonts w:ascii="Times New Roman" w:cs="Times New Roman" w:eastAsia="Times New Roman" w:hAnsi="Times New Roman"/>
          <w:b w:val="0"/>
          <w:sz w:val="22"/>
          <w:szCs w:val="22"/>
        </w:rPr>
      </w:pPr>
      <w:bookmarkStart w:colFirst="0" w:colLast="0" w:name="_heading=h.jv4zx1rxpmwg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Title"/>
        <w:widowControl w:val="0"/>
        <w:spacing w:before="89" w:line="240" w:lineRule="auto"/>
        <w:ind w:right="-20"/>
        <w:jc w:val="both"/>
        <w:rPr>
          <w:rFonts w:ascii="Times New Roman" w:cs="Times New Roman" w:eastAsia="Times New Roman" w:hAnsi="Times New Roman"/>
          <w:b w:val="0"/>
          <w:sz w:val="22"/>
          <w:szCs w:val="22"/>
        </w:rPr>
      </w:pPr>
      <w:bookmarkStart w:colFirst="0" w:colLast="0" w:name="_heading=h.xs10s3lorkhu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Агульная мэта конкурсу прапановаў – падтрымаць свабоднае самавыяўленне беларускіх дзеячаў мастацтва і культуры ў рэалізацыі іхных творчых праектаў.</w:t>
      </w:r>
    </w:p>
    <w:p w:rsidR="00000000" w:rsidDel="00000000" w:rsidP="00000000" w:rsidRDefault="00000000" w:rsidRPr="00000000" w14:paraId="0000001C">
      <w:pPr>
        <w:widowControl w:val="0"/>
        <w:spacing w:before="89" w:line="240" w:lineRule="auto"/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Канкрэтныя мэты конкурсу: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3"/>
        </w:numPr>
        <w:spacing w:after="0" w:before="89" w:line="240" w:lineRule="auto"/>
        <w:ind w:left="720" w:right="-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падтрымаць стварэнне культурніцкіх прадуктаў на падтрыманне свабоды выказвання меркаванняў ды імкнення да яркай і разнастайнай культуры, даступнай усім (праз адукацыю, даследаванні, палітычныя даследаванні і міжнародную супрацу);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3"/>
        </w:numPr>
        <w:spacing w:after="0" w:before="0" w:line="240" w:lineRule="auto"/>
        <w:ind w:left="720" w:right="-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захаваць еднасць беларускага нацыянальна-культурніцкага жыцця ва ўмовах фрагментацыі інфармацыйнай прасторы краіны і на фоне засілля агрэсіўнай расійскай прапаганды;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3"/>
        </w:numPr>
        <w:spacing w:before="0" w:line="240" w:lineRule="auto"/>
        <w:ind w:left="720" w:right="-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захоўваць і развіваць нацыянальную культурную спадчыну як частку еўрапейскай культурнай спадчыны.</w:t>
      </w:r>
    </w:p>
    <w:p w:rsidR="00000000" w:rsidDel="00000000" w:rsidP="00000000" w:rsidRDefault="00000000" w:rsidRPr="00000000" w14:paraId="00000020">
      <w:pPr>
        <w:pStyle w:val="Title"/>
        <w:widowControl w:val="0"/>
        <w:spacing w:line="240" w:lineRule="auto"/>
        <w:ind w:right="-20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c593j7e4svmk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 Хто можа браць удзел</w:t>
      </w:r>
    </w:p>
    <w:p w:rsidR="00000000" w:rsidDel="00000000" w:rsidP="00000000" w:rsidRDefault="00000000" w:rsidRPr="00000000" w14:paraId="00000021">
      <w:pPr>
        <w:spacing w:after="3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before="89" w:line="240" w:lineRule="auto"/>
        <w:ind w:right="-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Браць удзел у конкурсе могуць суб'екты культуры і мастацтва: фізічныя асобы, а таксама арганізацыі ды ініцыятывы грамадзянскай супольнасці (зарэгістраваныя і не) ў сферы культуры ў Беларусі ці за яе межамі, дзейнасць якіх у большай ступені рэалізуецца ў Беларусі ці для аўдыторыі ў Беларусі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далей Заяўнік. </w:t>
      </w:r>
    </w:p>
    <w:p w:rsidR="00000000" w:rsidDel="00000000" w:rsidP="00000000" w:rsidRDefault="00000000" w:rsidRPr="00000000" w14:paraId="00000023">
      <w:pPr>
        <w:widowControl w:val="0"/>
        <w:spacing w:before="89" w:line="240" w:lineRule="auto"/>
        <w:ind w:right="-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 прыватнасці гэта: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2"/>
        </w:numPr>
        <w:spacing w:after="0" w:before="89" w:line="240" w:lineRule="auto"/>
        <w:ind w:left="720" w:right="-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фізічныя асобы – дзеячы мастацтва і культуры, дзейнасць якіх збольшага ажыццяўляецца ў Беларусі або для аўдыторыі ў Беларусі*.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2"/>
        </w:numPr>
        <w:spacing w:before="0" w:line="240" w:lineRule="auto"/>
        <w:ind w:left="720" w:right="-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арганізацыі ды ініцыятывы грамадзянскай супольнасці ў сферы культуры, як зарэгістраваныя (у Беларусі, суседніх краінах ці краінах – сябрах Еўразвязу), гэтак і незарэгістраваныя.</w:t>
        <w:br w:type="textWrapping"/>
      </w:r>
    </w:p>
    <w:p w:rsidR="00000000" w:rsidDel="00000000" w:rsidP="00000000" w:rsidRDefault="00000000" w:rsidRPr="00000000" w14:paraId="00000026">
      <w:pPr>
        <w:widowControl w:val="0"/>
        <w:spacing w:before="89" w:line="240" w:lineRule="auto"/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Заяўка можа падавацца індывідуальна ці ў партнёрстве. У гэтым выпадку адна фізічная або юрыдычная асоба павінна выступаць у якасці вядучай арганізацыі. Вядучаму заяўніку з партнёрам дазваляецца выступаць у якасці партнёра ў іншых праектах. </w:t>
      </w:r>
    </w:p>
    <w:p w:rsidR="00000000" w:rsidDel="00000000" w:rsidP="00000000" w:rsidRDefault="00000000" w:rsidRPr="00000000" w14:paraId="00000027">
      <w:pPr>
        <w:widowControl w:val="0"/>
        <w:spacing w:before="89" w:line="240" w:lineRule="auto"/>
        <w:ind w:left="0" w:right="-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Важна: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Усе вынікі рэалізацыі праектаў, падтрыманых грантамі, павінны быць даступныя для аўдыторыі ў Беларусі праз выкарыстанне інфармацыйных тэхналогіяў і любых іншых сродкаў. План распаўсюду і ахопу будзе абавязковаю часткаю праектаў.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8">
      <w:pPr>
        <w:widowControl w:val="0"/>
        <w:spacing w:before="89" w:line="240" w:lineRule="auto"/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Патрабаванні да заяўніка: 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4"/>
        </w:numPr>
        <w:spacing w:after="0" w:before="89" w:line="240" w:lineRule="auto"/>
        <w:ind w:left="720" w:right="-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заяўнікі (фізічныя ці юрыдычныя асобы, кіраўнік праекту і партнёры) павінны быць актыўнымі ў культурніцка-творчай сферы;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4"/>
        </w:numPr>
        <w:spacing w:after="0" w:before="0" w:line="240" w:lineRule="auto"/>
        <w:ind w:left="720" w:right="-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арганізацыі ды АГС павінны мець сістэму фінансавага кіравання для забеспячэння належнай справаздачнасці і кантролю або быць гатовымі прайсці навучанне ў галіне фінансавага кіравання і падаць неабходную пацвярджальную дакументацыю;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4"/>
        </w:numPr>
        <w:spacing w:before="0" w:line="240" w:lineRule="auto"/>
        <w:ind w:left="708.6614173228347" w:right="-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індывідуальныя заяўнікі павінны мець банкаўскі рахунак у краінах Еўропы ці ў бяспечнай краіне “Усходняга партнёрства”.</w:t>
        <w:br w:type="textWrapping"/>
      </w:r>
    </w:p>
    <w:p w:rsidR="00000000" w:rsidDel="00000000" w:rsidP="00000000" w:rsidRDefault="00000000" w:rsidRPr="00000000" w14:paraId="0000002D">
      <w:pPr>
        <w:pStyle w:val="Title"/>
        <w:widowControl w:val="0"/>
        <w:spacing w:before="89" w:line="240" w:lineRule="auto"/>
        <w:ind w:right="-20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crrd3sm2r0is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 Тып падтрымання і віды дзейнасці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before="89" w:line="240" w:lineRule="auto"/>
        <w:ind w:right="-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Тып падтрымання, на які можа прэтэндаваць заяўнік: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6"/>
        </w:numPr>
        <w:spacing w:after="0" w:before="89" w:line="240" w:lineRule="auto"/>
        <w:ind w:left="720" w:right="-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падтрыманне мастацкіх праектаў розных жанраў (тэатральныя, музычныя, кіно і серыялы, кнігадрукаванне, культурніцкія імпрэзы, інтэрпрэтацыя і папулярызацыя культурнай спадчыны і г. д.);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6"/>
        </w:numPr>
        <w:spacing w:after="0" w:before="0" w:line="240" w:lineRule="auto"/>
        <w:ind w:left="720" w:right="-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падтрыманне міжгаліновых ды інавацыйных праектаў у сферы мастацтва і культуры;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6"/>
        </w:numPr>
        <w:spacing w:after="0" w:before="0" w:line="240" w:lineRule="auto"/>
        <w:ind w:left="720" w:right="-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тэставанне розных мадэляў фінансавання культуры;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6"/>
        </w:numPr>
        <w:spacing w:after="0" w:before="0" w:line="240" w:lineRule="auto"/>
        <w:ind w:left="720" w:right="-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падтрыманне распаўсюду культурніцкіх прадуктаў і развіцця аўдыторыі;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6"/>
        </w:numPr>
        <w:spacing w:after="0" w:before="0" w:line="240" w:lineRule="auto"/>
        <w:ind w:left="720" w:right="-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падтрыманне адукацыйных праектаў у сферы культуры;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6"/>
        </w:numPr>
        <w:spacing w:after="0" w:before="0" w:line="240" w:lineRule="auto"/>
        <w:ind w:left="720" w:right="-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падтрыманне прафесійных аб'яднанняў у сферы культуры і культурніцкіх цэнтраў;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6"/>
        </w:numPr>
        <w:spacing w:after="0" w:before="0" w:line="240" w:lineRule="auto"/>
        <w:ind w:left="720" w:right="-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развіццё супольнасцяў захавання культурна-гістарычнай спадчыны;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6"/>
        </w:numPr>
        <w:spacing w:before="0" w:line="240" w:lineRule="auto"/>
        <w:ind w:left="720" w:right="-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падтрыманне рэпрэсаваных мастакоў і групаў дзеячаў культуры, у тым ліку наданне ім экстранага фінансавання ды іншай дапамогі.</w:t>
      </w:r>
    </w:p>
    <w:p w:rsidR="00000000" w:rsidDel="00000000" w:rsidP="00000000" w:rsidRDefault="00000000" w:rsidRPr="00000000" w14:paraId="00000038">
      <w:pPr>
        <w:widowControl w:val="0"/>
        <w:spacing w:before="89" w:line="240" w:lineRule="auto"/>
        <w:ind w:right="-20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before="89" w:line="240" w:lineRule="auto"/>
        <w:ind w:right="-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Віды дзейнасці, якія могуць быць падтрыманыя: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9"/>
        </w:numPr>
        <w:spacing w:after="0" w:before="89" w:line="240" w:lineRule="auto"/>
        <w:ind w:left="720" w:right="-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майстар-класы, лабараторыі, хакатоны, фестывалі і г. д.;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9"/>
        </w:numPr>
        <w:spacing w:after="0" w:before="0" w:line="240" w:lineRule="auto"/>
        <w:ind w:left="720" w:right="-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вытворчасць і распаўсюд серыялаў, поўнаметражных і кароткаметражных фільмаў;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9"/>
        </w:numPr>
        <w:spacing w:after="0" w:before="0" w:line="240" w:lineRule="auto"/>
        <w:ind w:left="720" w:right="-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выданне кніг і альбомаў;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9"/>
        </w:numPr>
        <w:spacing w:after="0" w:before="0" w:line="240" w:lineRule="auto"/>
        <w:ind w:left="720" w:right="-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асноўнае арганізацыйнае падтрыманне (персанал, памяшканні, абсталяванне, сродкі сувязі і г. д.) арганізацыяў культуры, для ініцыятываў у Беларусі або толькі што перамешчаных, доля ад агульнага бюджэту не больш за 20 %;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9"/>
        </w:numPr>
        <w:spacing w:after="0" w:before="0" w:line="240" w:lineRule="auto"/>
        <w:ind w:left="720" w:right="-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кампаніі адвакацыі, інфармацыйныя кампаніі ў Беларусі і за мяжою;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9"/>
        </w:numPr>
        <w:spacing w:after="0" w:before="0" w:line="240" w:lineRule="auto"/>
        <w:ind w:left="720" w:right="-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распрацоўванне рашэнняў, якія дазваляюць браць удзел уразлівым групам у культурніцкім жыцці;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9"/>
        </w:numPr>
        <w:spacing w:after="0" w:before="0" w:line="240" w:lineRule="auto"/>
        <w:ind w:left="720" w:right="-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распрацоўванне і распаўсюд адукацыйных і асветніцкіх матэрыялаў;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9"/>
        </w:numPr>
        <w:spacing w:after="0" w:before="0" w:line="240" w:lineRule="auto"/>
        <w:ind w:left="720" w:right="-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распрацоўванне і распаўсюд дакументаў, датычных рэформаў у сферы культурнай палітыкі;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9"/>
        </w:numPr>
        <w:spacing w:before="0" w:line="240" w:lineRule="auto"/>
        <w:ind w:left="720" w:right="-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праекты з інавацыйнымі элементамі (напрыклад, сацыяльныя ці тэхналагічныя інавацыі ў мастацтве і культуры), пілотныя праекты з патэнцыялам тыражавання ў шырэйшым маштабе будуць мець прыярытэт.</w:t>
      </w:r>
    </w:p>
    <w:p w:rsidR="00000000" w:rsidDel="00000000" w:rsidP="00000000" w:rsidRDefault="00000000" w:rsidRPr="00000000" w14:paraId="00000043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  <w:color w:val="00b0f0"/>
        </w:rPr>
      </w:pPr>
      <w:bookmarkStart w:colFirst="0" w:colLast="0" w:name="_heading=h.30j0zll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Бюджэт і тэрміны рэалізацыі праекту.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Памер грантаў для міні-праектаў складае ад 1000 да 5000 еўраў.</w:t>
      </w:r>
    </w:p>
    <w:p w:rsidR="00000000" w:rsidDel="00000000" w:rsidP="00000000" w:rsidRDefault="00000000" w:rsidRPr="00000000" w14:paraId="00000046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Мінімальная працягласць міні-праектаў – 1 месяц,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максімальная – 9 месяцаў.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Фінал праекта мусіць быць не пазней за 01.11.2024.</w:t>
      </w:r>
    </w:p>
    <w:p w:rsidR="00000000" w:rsidDel="00000000" w:rsidP="00000000" w:rsidRDefault="00000000" w:rsidRPr="00000000" w14:paraId="00000047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Грант пакрывае 100% кошту падтрыманага праекту. Суфінансаванне не патрабуецца. Але магчымае вылучэнне гранту на суфінансаванне праектаў у тым выпадку, калі яны фінансуюцца за кошт прыватных рэсурсаў ці іншых рэсурсаў, якія не адносяцца да рэсурсаў з фондаў ЕЗ.</w:t>
      </w:r>
    </w:p>
    <w:p w:rsidR="00000000" w:rsidDel="00000000" w:rsidP="00000000" w:rsidRDefault="00000000" w:rsidRPr="00000000" w14:paraId="00000049">
      <w:pPr>
        <w:widowControl w:val="0"/>
        <w:spacing w:before="116" w:line="240" w:lineRule="auto"/>
        <w:ind w:right="43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Агульны бюджэт конкурсу прапановаў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для падтрымання праектаў дзеячаў мастацтва і культуры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ў 2022-2024 гадах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складае:</w:t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8"/>
        </w:numPr>
        <w:spacing w:after="0" w:before="116" w:line="240" w:lineRule="auto"/>
        <w:ind w:left="720" w:right="432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150 000 еўраў для міні-праектаў (не меней за 30 праектаў, макс. 5000 еўраў на праект);</w:t>
      </w:r>
    </w:p>
    <w:p w:rsidR="00000000" w:rsidDel="00000000" w:rsidP="00000000" w:rsidRDefault="00000000" w:rsidRPr="00000000" w14:paraId="0000004B">
      <w:pPr>
        <w:widowControl w:val="0"/>
        <w:spacing w:before="116" w:line="240" w:lineRule="auto"/>
        <w:ind w:left="720" w:right="432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Title"/>
        <w:widowControl w:val="0"/>
        <w:spacing w:before="90" w:line="240" w:lineRule="auto"/>
        <w:ind w:right="544.8031496063004"/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hzr4gyhu4f5i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4. Як падаць заяўку? Крытэры адбору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before="90" w:line="240" w:lineRule="auto"/>
        <w:ind w:right="544.803149606300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Заяўкі на міні-праекты прымаюцца на сталай аснове. Пачатак прыёму заявак на міні-праекты – 31.01.2023.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Адборачная камісія разглядае ўсе атрыманыя заяўкі на міні-гранты адзін раз за квартал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 канца праграмы ArtPower ці да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вычарпання магчымасцяў фінансавання.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5"/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bookmarkStart w:colFirst="0" w:colLast="0" w:name="_heading=h.ls8uk28p323c" w:id="9"/>
      <w:bookmarkEnd w:id="9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Крытэры прымальнасці: наданне інфармацыі</w:t>
      </w:r>
    </w:p>
    <w:p w:rsidR="00000000" w:rsidDel="00000000" w:rsidP="00000000" w:rsidRDefault="00000000" w:rsidRPr="00000000" w14:paraId="00000052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Каб падаць заяўку, неабходна запоўніць форму заяўкі на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беларускай ці англійскай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мове, якую можна знайсці на resource.byculture.org, адаслаць яе  з усімі дадаткамі да даты, пазначанай у раскладзе (гл. вышэй), выслаць яе да часу дэдлайну.</w:t>
      </w:r>
    </w:p>
    <w:p w:rsidR="00000000" w:rsidDel="00000000" w:rsidP="00000000" w:rsidRDefault="00000000" w:rsidRPr="00000000" w14:paraId="00000054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Будзе прапанавана падаць наступную інфармацыю:</w:t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5"/>
        </w:numPr>
        <w:spacing w:line="240" w:lineRule="auto"/>
        <w:ind w:left="720" w:right="543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асабістыя звесткі;</w:t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5"/>
        </w:numPr>
        <w:spacing w:line="240" w:lineRule="auto"/>
        <w:ind w:left="720" w:right="543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досвед працы;</w:t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5"/>
        </w:numPr>
        <w:spacing w:line="240" w:lineRule="auto"/>
        <w:ind w:left="720" w:right="543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апісанне праекту;</w:t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5"/>
        </w:numPr>
        <w:spacing w:line="240" w:lineRule="auto"/>
        <w:ind w:left="720" w:right="543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падрабязны бюджэтны план.</w:t>
      </w:r>
    </w:p>
    <w:p w:rsidR="00000000" w:rsidDel="00000000" w:rsidP="00000000" w:rsidRDefault="00000000" w:rsidRPr="00000000" w14:paraId="0000005A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 таксама наступныя дакументы (у фармаце PDF):</w:t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10"/>
        </w:numPr>
        <w:spacing w:line="240" w:lineRule="auto"/>
        <w:ind w:left="720" w:right="543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рэзюмэ і/ці партфоліа;</w:t>
        <w:br w:type="textWrapping"/>
      </w:r>
    </w:p>
    <w:p w:rsidR="00000000" w:rsidDel="00000000" w:rsidP="00000000" w:rsidRDefault="00000000" w:rsidRPr="00000000" w14:paraId="0000005D">
      <w:pPr>
        <w:pStyle w:val="Heading5"/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bookmarkStart w:colFirst="0" w:colLast="0" w:name="_heading=h.1ygmjs9u5j55" w:id="10"/>
      <w:bookmarkEnd w:id="1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Крытэры адбору: як будуць ацэньваць заяўку</w:t>
      </w:r>
    </w:p>
    <w:p w:rsidR="00000000" w:rsidDel="00000000" w:rsidP="00000000" w:rsidRDefault="00000000" w:rsidRPr="00000000" w14:paraId="0000005E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6"/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bookmarkStart w:colFirst="0" w:colLast="0" w:name="_heading=h.frrrabjuiwo4" w:id="11"/>
      <w:bookmarkEnd w:id="1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Крок 1: Правяранне прымальнасці і комплекснае правяранне заяўніка</w:t>
      </w:r>
    </w:p>
    <w:p w:rsidR="00000000" w:rsidDel="00000000" w:rsidP="00000000" w:rsidRDefault="00000000" w:rsidRPr="00000000" w14:paraId="00000060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Прапановы праектаў будуць правераныя на адпаведнасць крытэрам прымальнасці (гл. вышэй). Заяўнікаў правераць, каб пераканацца ў сапраўднасці заяўніка і ў гісторыі ягонай дзейнасці. У выпадку, калі праектавая прапанова не праходзіць правярання на адпаведнасць патрабаванням конкурсу, заяўніка інфармуюць пра гэта электроннаю поштаю. </w:t>
      </w:r>
    </w:p>
    <w:p w:rsidR="00000000" w:rsidDel="00000000" w:rsidP="00000000" w:rsidRDefault="00000000" w:rsidRPr="00000000" w14:paraId="00000061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6"/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bookmarkStart w:colFirst="0" w:colLast="0" w:name="_heading=h.s9hpd0gj9nl9" w:id="12"/>
      <w:bookmarkEnd w:id="1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Крок 2: Ацэнка прапановаў</w:t>
      </w:r>
    </w:p>
    <w:p w:rsidR="00000000" w:rsidDel="00000000" w:rsidP="00000000" w:rsidRDefault="00000000" w:rsidRPr="00000000" w14:paraId="00000063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 незалежныя эксперты ацэньваюць кожную праектавую прапанову, згодна з ацэначнаю табліцаю (паводле балаў). </w:t>
      </w:r>
    </w:p>
    <w:p w:rsidR="00000000" w:rsidDel="00000000" w:rsidP="00000000" w:rsidRDefault="00000000" w:rsidRPr="00000000" w14:paraId="00000064">
      <w:pPr>
        <w:spacing w:after="45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15"/>
        <w:gridCol w:w="3315"/>
        <w:gridCol w:w="1995"/>
        <w:tblGridChange w:id="0">
          <w:tblGrid>
            <w:gridCol w:w="3315"/>
            <w:gridCol w:w="3315"/>
            <w:gridCol w:w="1995"/>
          </w:tblGrid>
        </w:tblGridChange>
      </w:tblGrid>
      <w:tr>
        <w:trPr>
          <w:cantSplit w:val="0"/>
          <w:trHeight w:val="645.9375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after="45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Групы крытэраў </w:t>
            </w:r>
          </w:p>
          <w:p w:rsidR="00000000" w:rsidDel="00000000" w:rsidP="00000000" w:rsidRDefault="00000000" w:rsidRPr="00000000" w14:paraId="00000066">
            <w:pPr>
              <w:spacing w:after="45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45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Вызначэнне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45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Максімум балаў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after="45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Адпаведнасць і актуальнасць </w:t>
            </w:r>
          </w:p>
          <w:p w:rsidR="00000000" w:rsidDel="00000000" w:rsidP="00000000" w:rsidRDefault="00000000" w:rsidRPr="00000000" w14:paraId="0000006A">
            <w:pPr>
              <w:spacing w:after="45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45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Ці спрыяе праект рэалізацыі задачаў і мэтаў конкурсу?</w:t>
            </w:r>
          </w:p>
          <w:p w:rsidR="00000000" w:rsidDel="00000000" w:rsidP="00000000" w:rsidRDefault="00000000" w:rsidRPr="00000000" w14:paraId="0000006C">
            <w:pPr>
              <w:spacing w:after="45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45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6E">
            <w:pPr>
              <w:spacing w:after="45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spacing w:after="45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Якасць кантэнту і</w:t>
            </w:r>
          </w:p>
          <w:p w:rsidR="00000000" w:rsidDel="00000000" w:rsidP="00000000" w:rsidRDefault="00000000" w:rsidRPr="00000000" w14:paraId="00000070">
            <w:pPr>
              <w:spacing w:after="45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дзейнасці</w:t>
            </w:r>
          </w:p>
          <w:p w:rsidR="00000000" w:rsidDel="00000000" w:rsidP="00000000" w:rsidRDefault="00000000" w:rsidRPr="00000000" w14:paraId="00000071">
            <w:pPr>
              <w:spacing w:after="45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45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Як рэалізуецца праект</w:t>
            </w:r>
          </w:p>
          <w:p w:rsidR="00000000" w:rsidDel="00000000" w:rsidP="00000000" w:rsidRDefault="00000000" w:rsidRPr="00000000" w14:paraId="00000073">
            <w:pPr>
              <w:spacing w:after="45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 практыцы?</w:t>
            </w:r>
          </w:p>
          <w:p w:rsidR="00000000" w:rsidDel="00000000" w:rsidP="00000000" w:rsidRDefault="00000000" w:rsidRPr="00000000" w14:paraId="00000074">
            <w:pPr>
              <w:spacing w:after="45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45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76">
            <w:pPr>
              <w:spacing w:after="45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after="45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Ахоп і</w:t>
            </w:r>
          </w:p>
          <w:p w:rsidR="00000000" w:rsidDel="00000000" w:rsidP="00000000" w:rsidRDefault="00000000" w:rsidRPr="00000000" w14:paraId="00000078">
            <w:pPr>
              <w:spacing w:after="45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распаўсюд</w:t>
            </w:r>
          </w:p>
          <w:p w:rsidR="00000000" w:rsidDel="00000000" w:rsidP="00000000" w:rsidRDefault="00000000" w:rsidRPr="00000000" w14:paraId="00000079">
            <w:pPr>
              <w:spacing w:after="45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45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Якія падыходы выкарыстоўваюцца для распаўсюду інфармацыі пра вынікі праекту?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45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7C">
            <w:pPr>
              <w:spacing w:after="45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spacing w:after="45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Якасць менеджменту і фінансавы патэнцыял выканання праекту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45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Ці здольная каманда праекту давесці яго да паспяховага выканання і справаздачнасці?</w:t>
            </w:r>
          </w:p>
          <w:p w:rsidR="00000000" w:rsidDel="00000000" w:rsidP="00000000" w:rsidRDefault="00000000" w:rsidRPr="00000000" w14:paraId="0000007F">
            <w:pPr>
              <w:spacing w:after="45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45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spacing w:after="45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Ацэнка рызык 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45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Ці здольная каманда ацаніць і перадухіліць магчымыя рызыкі невыканання праекту?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45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84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  <w:color w:val="00b0f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b0f0"/>
          <w:rtl w:val="0"/>
        </w:rPr>
        <w:br w:type="textWrapping"/>
      </w:r>
    </w:p>
    <w:p w:rsidR="00000000" w:rsidDel="00000000" w:rsidP="00000000" w:rsidRDefault="00000000" w:rsidRPr="00000000" w14:paraId="00000085">
      <w:pPr>
        <w:pStyle w:val="Heading6"/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bookmarkStart w:colFirst="0" w:colLast="0" w:name="_heading=h.fk2ahl4jsciq" w:id="13"/>
      <w:bookmarkEnd w:id="1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Крок 3: Абмеркаванне і рашэнне адборачнай камісіі</w:t>
      </w:r>
    </w:p>
    <w:p w:rsidR="00000000" w:rsidDel="00000000" w:rsidP="00000000" w:rsidRDefault="00000000" w:rsidRPr="00000000" w14:paraId="00000086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Адборачная камісія складаецца з прадстаўнікоў партнёраў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ArtPower Belarus: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трох прадстаўнікоў Дацкага інстытуту культуры, двух прадстаўнікоў Беларускай Рады культуры і запрошанага эксперта.</w:t>
      </w:r>
    </w:p>
    <w:p w:rsidR="00000000" w:rsidDel="00000000" w:rsidP="00000000" w:rsidRDefault="00000000" w:rsidRPr="00000000" w14:paraId="00000087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Адборачная камісія прымае канчатковае рашэнне пасля сустрэчы онлайн або офлайн. Адборачная камісія пакідае за сабою права даць вядучым кандыдатам рэкамендацыі для паляпшэння прапановаў і прапанаваць змяніць бюджэт.</w:t>
      </w:r>
    </w:p>
    <w:p w:rsidR="00000000" w:rsidDel="00000000" w:rsidP="00000000" w:rsidRDefault="00000000" w:rsidRPr="00000000" w14:paraId="00000088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  <w:color w:val="00b0f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Адборачная камісія будзе інфармаваць заяўнікаў пра вынікі разгляду праектаў на працягу двух тыдняў пасля прыняцця канчатковага рашэння.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Style w:val="Title"/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  <w:color w:val="ff0000"/>
          <w:sz w:val="26"/>
          <w:szCs w:val="26"/>
        </w:rPr>
      </w:pPr>
      <w:bookmarkStart w:colFirst="0" w:colLast="0" w:name="_heading=h.c5w642weojgo" w:id="14"/>
      <w:bookmarkEnd w:id="14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5. Калі вы прайшлі адбор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8B">
      <w:pPr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Пасля прыняцця рашэння аб прысуджэнні гранту заяўнік падпісвае пагадненне аб гранце з БРК. Пагадненне аб гранце будзе патрабаваць выканання ўсіх умоваў ЕЗ.</w:t>
      </w:r>
    </w:p>
    <w:p w:rsidR="00000000" w:rsidDel="00000000" w:rsidP="00000000" w:rsidRDefault="00000000" w:rsidRPr="00000000" w14:paraId="0000008C">
      <w:pPr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пагадненні будуць таксама падрабязна пазначаныя патрабаванні да справаздачнасці. У агульных рысах справаздачнасць будзе складацца з: </w:t>
      </w:r>
    </w:p>
    <w:p w:rsidR="00000000" w:rsidDel="00000000" w:rsidP="00000000" w:rsidRDefault="00000000" w:rsidRPr="00000000" w14:paraId="0000008D">
      <w:pPr>
        <w:widowControl w:val="0"/>
        <w:numPr>
          <w:ilvl w:val="0"/>
          <w:numId w:val="7"/>
        </w:numPr>
        <w:spacing w:line="240" w:lineRule="auto"/>
        <w:ind w:left="720" w:right="47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апісальнай справаздачы, якая адсочвае ўзгодненыя паказнікі рэалізацыі ды эфектыўнасці праекту;</w:t>
      </w:r>
    </w:p>
    <w:p w:rsidR="00000000" w:rsidDel="00000000" w:rsidP="00000000" w:rsidRDefault="00000000" w:rsidRPr="00000000" w14:paraId="0000008E">
      <w:pPr>
        <w:widowControl w:val="0"/>
        <w:numPr>
          <w:ilvl w:val="0"/>
          <w:numId w:val="7"/>
        </w:numPr>
        <w:spacing w:line="240" w:lineRule="auto"/>
        <w:ind w:left="720" w:right="47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фінансавай справаздачы з падрабязным пералікам выдаткаў, якая суправаджаецца пацвярджальнымі дакументамі.</w:t>
      </w:r>
    </w:p>
    <w:p w:rsidR="00000000" w:rsidDel="00000000" w:rsidP="00000000" w:rsidRDefault="00000000" w:rsidRPr="00000000" w14:paraId="0000008F">
      <w:pPr>
        <w:widowControl w:val="0"/>
        <w:spacing w:line="240" w:lineRule="auto"/>
        <w:ind w:left="0" w:right="4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line="240" w:lineRule="auto"/>
        <w:ind w:left="0" w:right="4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Фінансаванне міні-праектаў адбываецца наступным чынам:</w:t>
        <w:br w:type="textWrapping"/>
        <w:t xml:space="preserve">Пасля падпісання дамовы заяўнік атрымлівае 90% зацверджанай сумы. Рэшта сумы фінансавання (10%) будзе пералічаная пасля падання і зацвярджэння справаздачы.</w:t>
        <w:br w:type="textWrapping"/>
        <w:br w:type="textWrapping"/>
        <w:t xml:space="preserve">Шаблоны для апісальных і фінансавых справаздачаў будуць дадзеныя разам з пагадненнем аб гранце.</w:t>
      </w:r>
    </w:p>
    <w:p w:rsidR="00000000" w:rsidDel="00000000" w:rsidP="00000000" w:rsidRDefault="00000000" w:rsidRPr="00000000" w14:paraId="00000091">
      <w:pPr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Грант-менеджары будуць суправаджаць працэс з самага пачатку: рыхтаваць дамовы, удакладняць бюджэты, уносіць заўвагі і прапановы наконт зместу праектаў, кантраляваць выкананне, прымаць справаздачы і кансультаваць пра формы справаздачнасці.</w:t>
      </w:r>
    </w:p>
    <w:p w:rsidR="00000000" w:rsidDel="00000000" w:rsidP="00000000" w:rsidRDefault="00000000" w:rsidRPr="00000000" w14:paraId="00000092">
      <w:pPr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Падпісаўшы пагадненне аб гранце, грантаатрымальнік згаджаецца ўпаўнаважыць Беларускую Раду культуры, Дацкі культурніцкі інстытут і Прадстаўніцтва Еўразвязу ажыццяўляць свае паўнамоцтвы ў кантролі над дакументамі, звязанымі з праектам, і доказамі выдаткаў. Пры невыкананні ўзгодненых тэрмінаў і абавязальніцтваў у справаздачнасці, а таксама недастатковай якасці справаздачаў грантадаўца мае права патрабаваць вярнуць вылучаны грант.</w:t>
      </w:r>
    </w:p>
    <w:p w:rsidR="00000000" w:rsidDel="00000000" w:rsidP="00000000" w:rsidRDefault="00000000" w:rsidRPr="00000000" w14:paraId="00000093">
      <w:pPr>
        <w:pStyle w:val="Title"/>
        <w:widowControl w:val="0"/>
        <w:spacing w:line="240" w:lineRule="auto"/>
        <w:ind w:right="5861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vm3eg1z3awze" w:id="15"/>
      <w:bookmarkEnd w:id="15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6. Крытэры выключэння</w:t>
      </w:r>
    </w:p>
    <w:p w:rsidR="00000000" w:rsidDel="00000000" w:rsidP="00000000" w:rsidRDefault="00000000" w:rsidRPr="00000000" w14:paraId="00000094">
      <w:pPr>
        <w:pStyle w:val="Heading5"/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</w:rPr>
      </w:pPr>
      <w:bookmarkStart w:colFirst="0" w:colLast="0" w:name="_heading=h.2d3dxi91fiec" w:id="16"/>
      <w:bookmarkEnd w:id="1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6.1 Адхіленне ад удзелу</w:t>
      </w:r>
    </w:p>
    <w:p w:rsidR="00000000" w:rsidDel="00000000" w:rsidP="00000000" w:rsidRDefault="00000000" w:rsidRPr="00000000" w14:paraId="00000095">
      <w:pPr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Заяўніка (кіраўнікоў праекту і партнёраў) выключаць з удзелу ў конкурсах заявак, калі ён падпадае пад адзін ці некалькі крытэраў:</w:t>
      </w:r>
    </w:p>
    <w:p w:rsidR="00000000" w:rsidDel="00000000" w:rsidP="00000000" w:rsidRDefault="00000000" w:rsidRPr="00000000" w14:paraId="00000096">
      <w:pPr>
        <w:widowControl w:val="0"/>
        <w:numPr>
          <w:ilvl w:val="0"/>
          <w:numId w:val="1"/>
        </w:numPr>
        <w:spacing w:line="240" w:lineRule="auto"/>
        <w:ind w:left="720" w:right="47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ёсць банкрутам, падлягае працэдуры неплацежаздольнасці або ліквідацыі, актывы – у стане ліквідацыі;</w:t>
      </w:r>
    </w:p>
    <w:p w:rsidR="00000000" w:rsidDel="00000000" w:rsidP="00000000" w:rsidRDefault="00000000" w:rsidRPr="00000000" w14:paraId="00000097">
      <w:pPr>
        <w:widowControl w:val="0"/>
        <w:numPr>
          <w:ilvl w:val="0"/>
          <w:numId w:val="1"/>
        </w:numPr>
        <w:spacing w:line="240" w:lineRule="auto"/>
        <w:ind w:left="720" w:right="47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канчатковым судом або канчатковым адміністратыўным рашэннем было ўстаноўлена, што заяўнік не выконвае сваіх абавязальніцтваў у выплаце падаткаў або ўзносаў сацыяльнага забеспячэння, згодна з заканадаўствам краіны, у якой арганізацыя створаная, ці ў якой застаецца ўпаўнаважаны працаўнік, або краіны рэалізацыі гранту;</w:t>
      </w:r>
    </w:p>
    <w:p w:rsidR="00000000" w:rsidDel="00000000" w:rsidP="00000000" w:rsidRDefault="00000000" w:rsidRPr="00000000" w14:paraId="00000098">
      <w:pPr>
        <w:widowControl w:val="0"/>
        <w:numPr>
          <w:ilvl w:val="0"/>
          <w:numId w:val="1"/>
        </w:numPr>
        <w:spacing w:line="240" w:lineRule="auto"/>
        <w:ind w:left="720" w:right="47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канчатковым судом або канчатковым адміністратыўным рашэннем было ўстаноўлена, што заяўнік вінаваты ў сур'ёзных прафесійных парушэннях, што парушаюць дзейныя законы, правілы або этычныя нормы прафесіі, да якой належыць заяўнік, або заяўнік бярэ ўдзел у любых супрацьпраўных дзеяннях, што ўплываюць на ягоны прафесійны аўтарытэт;</w:t>
      </w:r>
    </w:p>
    <w:p w:rsidR="00000000" w:rsidDel="00000000" w:rsidP="00000000" w:rsidRDefault="00000000" w:rsidRPr="00000000" w14:paraId="00000099">
      <w:pPr>
        <w:widowControl w:val="0"/>
        <w:numPr>
          <w:ilvl w:val="0"/>
          <w:numId w:val="1"/>
        </w:numPr>
        <w:spacing w:line="240" w:lineRule="auto"/>
        <w:ind w:left="720" w:right="47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паказаў значныя недахопы ў выкананні асноўных абавязальніцтваў у выкананні кантракту, пагаднення аб гранце або рашэння аб гранце, што фінансуюцца Еўразвязам;</w:t>
      </w:r>
    </w:p>
    <w:p w:rsidR="00000000" w:rsidDel="00000000" w:rsidP="00000000" w:rsidRDefault="00000000" w:rsidRPr="00000000" w14:paraId="0000009A">
      <w:pPr>
        <w:widowControl w:val="0"/>
        <w:numPr>
          <w:ilvl w:val="0"/>
          <w:numId w:val="1"/>
        </w:numPr>
        <w:spacing w:line="240" w:lineRule="auto"/>
        <w:ind w:left="720" w:right="47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мае дачыненне (сямейнік ці калега) да чальцоў адборачнай камісіі ці ацэначнага камітэту.</w:t>
      </w:r>
    </w:p>
    <w:p w:rsidR="00000000" w:rsidDel="00000000" w:rsidP="00000000" w:rsidRDefault="00000000" w:rsidRPr="00000000" w14:paraId="0000009B">
      <w:pPr>
        <w:pStyle w:val="Heading5"/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</w:rPr>
      </w:pPr>
      <w:bookmarkStart w:colFirst="0" w:colLast="0" w:name="_heading=h.l460m4y3tv5n" w:id="17"/>
      <w:bookmarkEnd w:id="17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6.2 Адмова атрымання гранту</w:t>
      </w:r>
    </w:p>
    <w:p w:rsidR="00000000" w:rsidDel="00000000" w:rsidP="00000000" w:rsidRDefault="00000000" w:rsidRPr="00000000" w14:paraId="0000009C">
      <w:pPr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Заяўнік не атрымае гранту, калі:</w:t>
      </w:r>
    </w:p>
    <w:p w:rsidR="00000000" w:rsidDel="00000000" w:rsidP="00000000" w:rsidRDefault="00000000" w:rsidRPr="00000000" w14:paraId="0000009D">
      <w:pPr>
        <w:widowControl w:val="0"/>
        <w:numPr>
          <w:ilvl w:val="0"/>
          <w:numId w:val="11"/>
        </w:numPr>
        <w:spacing w:line="240" w:lineRule="auto"/>
        <w:ind w:left="720" w:right="47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падпадае пад адзін ці некалькі крытэраў выключэння, згаданых у раздзеле 6.1;</w:t>
      </w:r>
    </w:p>
    <w:p w:rsidR="00000000" w:rsidDel="00000000" w:rsidP="00000000" w:rsidRDefault="00000000" w:rsidRPr="00000000" w14:paraId="0000009E">
      <w:pPr>
        <w:widowControl w:val="0"/>
        <w:numPr>
          <w:ilvl w:val="0"/>
          <w:numId w:val="11"/>
        </w:numPr>
        <w:spacing w:line="240" w:lineRule="auto"/>
        <w:ind w:left="720" w:right="47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сказіў інфармацыю, што патрабуецца ў якасці ўмовы для ўдзелу ў працэдуры, або не падаў гэтай інфармацыі;</w:t>
      </w:r>
    </w:p>
    <w:p w:rsidR="00000000" w:rsidDel="00000000" w:rsidP="00000000" w:rsidRDefault="00000000" w:rsidRPr="00000000" w14:paraId="0000009F">
      <w:pPr>
        <w:widowControl w:val="0"/>
        <w:numPr>
          <w:ilvl w:val="0"/>
          <w:numId w:val="11"/>
        </w:numPr>
        <w:spacing w:line="240" w:lineRule="auto"/>
        <w:ind w:left="720" w:right="47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браў удзел у рыхтаванні конкурсу прапановаў.</w:t>
      </w:r>
    </w:p>
    <w:p w:rsidR="00000000" w:rsidDel="00000000" w:rsidP="00000000" w:rsidRDefault="00000000" w:rsidRPr="00000000" w14:paraId="000000A0">
      <w:pPr>
        <w:pStyle w:val="Title"/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wj4v5y14eed5" w:id="18"/>
      <w:bookmarkEnd w:id="18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7. Умовы фінансавання</w:t>
      </w:r>
    </w:p>
    <w:p w:rsidR="00000000" w:rsidDel="00000000" w:rsidP="00000000" w:rsidRDefault="00000000" w:rsidRPr="00000000" w14:paraId="000000A1">
      <w:pPr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Style w:val="Heading5"/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</w:rPr>
      </w:pPr>
      <w:bookmarkStart w:colFirst="0" w:colLast="0" w:name="_heading=h.78yae5eulem7" w:id="19"/>
      <w:bookmarkEnd w:id="19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7.1 Пазбяганне падвойнага фінансавання</w:t>
      </w:r>
    </w:p>
    <w:p w:rsidR="00000000" w:rsidDel="00000000" w:rsidP="00000000" w:rsidRDefault="00000000" w:rsidRPr="00000000" w14:paraId="000000A3">
      <w:pPr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Ні ў якім разе аднолькавыя выдаткі не павінны двойчы фінансавацца з розных крыніцаў. Гэта значыць, што ў выпадку падачы аднаго і таго ж праекту да розных донараў заяўнікі павінны пазначыць сумы і крыніцы, у якіх было запытанае фінансаванне (нават калі заяўку яшчэ разглядаюць).</w:t>
      </w:r>
    </w:p>
    <w:p w:rsidR="00000000" w:rsidDel="00000000" w:rsidP="00000000" w:rsidRDefault="00000000" w:rsidRPr="00000000" w14:paraId="000000A5">
      <w:pPr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Style w:val="Heading5"/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</w:rPr>
      </w:pPr>
      <w:bookmarkStart w:colFirst="0" w:colLast="0" w:name="_heading=h.wtzlitdiv30h" w:id="20"/>
      <w:bookmarkEnd w:id="2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7.2 Тэрмін выдаткаў</w:t>
      </w:r>
    </w:p>
    <w:p w:rsidR="00000000" w:rsidDel="00000000" w:rsidP="00000000" w:rsidRDefault="00000000" w:rsidRPr="00000000" w14:paraId="000000A7">
      <w:pPr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Выдаткі, панесеныя па-за межамі тэрмінаў праекту, пазначаных у кантракце, не будуць прымацца.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Грант можа быць прысуджаны на дзеянне, якое ўжо пачалося, толькі калі заяўнік можа</w:t>
      </w:r>
    </w:p>
    <w:p w:rsidR="00000000" w:rsidDel="00000000" w:rsidP="00000000" w:rsidRDefault="00000000" w:rsidRPr="00000000" w14:paraId="000000AA">
      <w:pPr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прадэманстраваць неабходнасць пачатку дзеяння да падпісання грантавага пагаднення.</w:t>
      </w:r>
    </w:p>
    <w:p w:rsidR="00000000" w:rsidDel="00000000" w:rsidP="00000000" w:rsidRDefault="00000000" w:rsidRPr="00000000" w14:paraId="000000AB">
      <w:pPr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такіх выпадках выдаткі, якія прымаюцца да фінансавання, не могуць быць панесеныя да даты падачы заяўкі на грант.</w:t>
      </w:r>
    </w:p>
    <w:p w:rsidR="00000000" w:rsidDel="00000000" w:rsidP="00000000" w:rsidRDefault="00000000" w:rsidRPr="00000000" w14:paraId="000000AC">
      <w:pPr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Style w:val="Heading5"/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</w:rPr>
      </w:pPr>
      <w:bookmarkStart w:colFirst="0" w:colLast="0" w:name="_heading=h.odsrb39080ud" w:id="21"/>
      <w:bookmarkEnd w:id="2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7.3 Суфінансаванне</w:t>
      </w:r>
    </w:p>
    <w:p w:rsidR="00000000" w:rsidDel="00000000" w:rsidP="00000000" w:rsidRDefault="00000000" w:rsidRPr="00000000" w14:paraId="000000AE">
      <w:pPr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Заяўнікі маюць права прасіць сродкі ў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ArtPower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 пакрыццё толькі часткі неабходнага бюджэту.</w:t>
      </w:r>
    </w:p>
    <w:p w:rsidR="00000000" w:rsidDel="00000000" w:rsidP="00000000" w:rsidRDefault="00000000" w:rsidRPr="00000000" w14:paraId="000000B0">
      <w:pPr>
        <w:widowControl w:val="0"/>
        <w:spacing w:line="240" w:lineRule="auto"/>
        <w:ind w:right="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Суфінансаванне імпрэзы можа мець форму:</w:t>
      </w:r>
    </w:p>
    <w:p w:rsidR="00000000" w:rsidDel="00000000" w:rsidP="00000000" w:rsidRDefault="00000000" w:rsidRPr="00000000" w14:paraId="000000B1">
      <w:pPr>
        <w:widowControl w:val="0"/>
        <w:numPr>
          <w:ilvl w:val="0"/>
          <w:numId w:val="2"/>
        </w:numPr>
        <w:spacing w:line="240" w:lineRule="auto"/>
        <w:ind w:left="720" w:right="47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уласныя сродкі бенефіцыяра;</w:t>
      </w:r>
    </w:p>
    <w:p w:rsidR="00000000" w:rsidDel="00000000" w:rsidP="00000000" w:rsidRDefault="00000000" w:rsidRPr="00000000" w14:paraId="000000B2">
      <w:pPr>
        <w:widowControl w:val="0"/>
        <w:numPr>
          <w:ilvl w:val="0"/>
          <w:numId w:val="2"/>
        </w:numPr>
        <w:spacing w:line="240" w:lineRule="auto"/>
        <w:ind w:left="720" w:right="47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фінансавыя ўнёскі трэціх асобаў;</w:t>
      </w:r>
    </w:p>
    <w:p w:rsidR="00000000" w:rsidDel="00000000" w:rsidP="00000000" w:rsidRDefault="00000000" w:rsidRPr="00000000" w14:paraId="000000B3">
      <w:pPr>
        <w:widowControl w:val="0"/>
        <w:numPr>
          <w:ilvl w:val="0"/>
          <w:numId w:val="2"/>
        </w:numPr>
        <w:spacing w:line="240" w:lineRule="auto"/>
        <w:ind w:left="720" w:right="47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грантавыя сродкі іншых донараў, якія не адносяцца да рэсурсаў з фондаў ЕЗ.</w:t>
      </w:r>
    </w:p>
    <w:p w:rsidR="00000000" w:rsidDel="00000000" w:rsidP="00000000" w:rsidRDefault="00000000" w:rsidRPr="00000000" w14:paraId="000000B4">
      <w:pPr>
        <w:pStyle w:val="Title"/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dagkem4jo6ky" w:id="22"/>
      <w:bookmarkEnd w:id="22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8. Ахова звестак і карыстанне вынікамі </w:t>
      </w:r>
    </w:p>
    <w:p w:rsidR="00000000" w:rsidDel="00000000" w:rsidP="00000000" w:rsidRDefault="00000000" w:rsidRPr="00000000" w14:paraId="000000B5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spacing w:line="240" w:lineRule="auto"/>
        <w:ind w:left="0" w:right="543" w:firstLine="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Адказ на любую заяўку ўключае ў сябе запіс і апрацоўванне персанальных звестак (імя, адрас і рэзюмэ). Такія даныя будуць апрацоўвацца, згодна з Рэгламентам ЕЗ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№ 45/200121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аб ахове фізічных асобаў у дачыненні апрацоўвання персанальных звестак грамадскімі інстытутамі і органамі ды аб свабодным перамяшчэнні такіх звестак. Любыя запытаныя даныя заявак будуць апрацаваныя выключна з мэтаю ацэнкі экспертаў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ArtPower Belarus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згодна са спецыфікаю конкурсу.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spacing w:line="240" w:lineRule="auto"/>
        <w:ind w:left="0" w:right="543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Калі іншага не прадугледжваюць асаблівыя ўмовы, права ўласнасці на вынікі праекту належаць заяўніку(ам).</w:t>
      </w:r>
    </w:p>
    <w:p w:rsidR="00000000" w:rsidDel="00000000" w:rsidP="00000000" w:rsidRDefault="00000000" w:rsidRPr="00000000" w14:paraId="000000B9">
      <w:pPr>
        <w:pStyle w:val="Title"/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nm4ur8njz7q8" w:id="23"/>
      <w:bookmarkEnd w:id="23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9. Кантакты</w:t>
      </w:r>
    </w:p>
    <w:p w:rsidR="00000000" w:rsidDel="00000000" w:rsidP="00000000" w:rsidRDefault="00000000" w:rsidRPr="00000000" w14:paraId="000000BA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Беларуская Рада культуры</w:t>
      </w:r>
    </w:p>
    <w:p w:rsidR="00000000" w:rsidDel="00000000" w:rsidP="00000000" w:rsidRDefault="00000000" w:rsidRPr="00000000" w14:paraId="000000BC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2727000" cy="5400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27000" cy="54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0"/>
        <w:spacing w:line="240" w:lineRule="auto"/>
        <w:ind w:right="54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resource.byculture.org</w:t>
        <w:br w:type="textWrapping"/>
        <w:t xml:space="preserve">resource@byculture.org</w:t>
      </w:r>
    </w:p>
    <w:sectPr>
      <w:headerReference r:id="rId10" w:type="default"/>
      <w:footerReference r:id="rId11" w:type="default"/>
      <w:pgSz w:h="15840" w:w="12240" w:orient="portrait"/>
      <w:pgMar w:bottom="1276" w:top="1134" w:left="1420" w:right="1885.866141732284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3A3ACA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Normal (Web)"/>
    <w:basedOn w:val="a"/>
    <w:uiPriority w:val="99"/>
    <w:unhideWhenUsed w:val="1"/>
    <w:rsid w:val="0085698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 w:val="ru"/>
    </w:rPr>
  </w:style>
  <w:style w:type="paragraph" w:styleId="a5">
    <w:name w:val="List Paragraph"/>
    <w:basedOn w:val="a"/>
    <w:uiPriority w:val="34"/>
    <w:qFormat w:val="1"/>
    <w:rsid w:val="00220B7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ntpa-econtent-public.s3.eu-west-1.amazonaws.com/ePrag/2021.1/ePrag-en-2021.1.pdf" TargetMode="External"/><Relationship Id="rId8" Type="http://schemas.openxmlformats.org/officeDocument/2006/relationships/hyperlink" Target="https://eur-lex.europa.eu/legal-content/EN/TXT/?uri=CELEX%3A02001R0045-20010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Pr8MxGYh3P6/WIzVc19BJKG1ZA==">CgMxLjAyDWgudzMxMHo5amJkczEyDmguMTRpemZnaHZsa21sMg5oLmNvaDgxZXI4MHEwZTIOaC5qdjR6eDFyeHBtd2cyDmgueHMxMHMzbG9ya2h1Mg5oLmM1OTNqN2U0c3ZtazIOaC5jcnJkM3NtMnIwaXMyCWguMzBqMHpsbDIOaC5oenI0Z3lodTRmNWkyDmgubHM4dWsyOHAzMjNjMg5oLjF5Z21qczl1NWo1NTIOaC5mcnJyYWJqdWl3bzQyDmguczlocGQwZ2o5bmw5Mg5oLmZrMmFobDRqc2NpcTIOaC5jNXc2NDJ3ZW9qZ28yDmgudm0zZWcxejNhd3plMg5oLjJkM2R4aTkxZmllYzIOaC5sNDYwbTR5M3R2NW4yDmgud2o0djV5MTRlZWQ1Mg5oLjc4eWFlNWV1bGVtNzIOaC53dHpsaXRkaXYzMGgyDmgub2RzcmIzOTA4MHVkMg5oLmRhZ2tlbTRqbzZreTIOaC5ubTR1cjhuano3cTg4AGosChRzdWdnZXN0LjY4bHBzZGY4em1rbhIUbXNAZGFuaXNoY3VsdHVyZS5jb21yITEwQWJWOEVlNWdYWmhzclhyLWdSaHZ6dk82bXFMZHB5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2022-10-03T12:57:00Z</dcterms:created>
  <dc:creator>user</dc:creator>
</cp:coreProperties>
</file>